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7A" w:rsidRPr="005A7EDF" w:rsidRDefault="00B0147A">
      <w:pPr>
        <w:spacing w:after="0"/>
        <w:ind w:left="-1440" w:right="126"/>
        <w:rPr>
          <w:sz w:val="16"/>
          <w:szCs w:val="16"/>
        </w:rPr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B0147A" w:rsidRPr="005A7EDF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47A" w:rsidRPr="005A7EDF" w:rsidRDefault="009A4ADD">
            <w:pPr>
              <w:ind w:left="1656" w:right="1657"/>
              <w:jc w:val="center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Klauzula informacyjna dot. przetwarzania danych osobowych w związku z ustawą z dnia 5 stycznia 2011 r.  </w:t>
            </w:r>
            <w:r w:rsidRPr="005A7EDF">
              <w:rPr>
                <w:rFonts w:ascii="Arial" w:eastAsia="Arial" w:hAnsi="Arial" w:cs="Arial"/>
                <w:b/>
                <w:i/>
                <w:sz w:val="16"/>
                <w:szCs w:val="16"/>
              </w:rPr>
              <w:t>Kodeks wyborczy</w:t>
            </w: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0147A" w:rsidRPr="005A7EDF" w:rsidTr="005A7EDF">
        <w:trPr>
          <w:trHeight w:val="405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TOŻSAMOŚĆ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7A" w:rsidRPr="005A7EDF" w:rsidRDefault="009A4ADD">
            <w:pPr>
              <w:spacing w:after="30"/>
              <w:ind w:left="3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Administratorami są:</w:t>
            </w:r>
          </w:p>
          <w:p w:rsidR="00B0147A" w:rsidRPr="005A7EDF" w:rsidRDefault="005A7EDF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Prezydent M</w:t>
            </w:r>
            <w:r w:rsidR="009A4ADD" w:rsidRPr="005A7EDF">
              <w:rPr>
                <w:rFonts w:ascii="Arial" w:eastAsia="Arial" w:hAnsi="Arial" w:cs="Arial"/>
                <w:sz w:val="16"/>
                <w:szCs w:val="16"/>
              </w:rPr>
              <w:t xml:space="preserve">iasta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>Łomży</w:t>
            </w:r>
            <w:r w:rsidR="00907C5B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9A4ADD" w:rsidRPr="005A7ED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pl. Stary </w:t>
            </w:r>
            <w:r w:rsidR="00907C5B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ynek 14, 18-400 Łomża </w:t>
            </w:r>
            <w:r w:rsidR="009A4ADD" w:rsidRPr="005A7EDF">
              <w:rPr>
                <w:rFonts w:ascii="Arial" w:eastAsia="Arial" w:hAnsi="Arial" w:cs="Arial"/>
                <w:sz w:val="16"/>
                <w:szCs w:val="16"/>
              </w:rPr>
              <w:t xml:space="preserve">– w zakresie rejestracji w Centralnym Rejestrze Wyborców danych wpływających na realizację prawa wybierania i przechowywanej przez Prezydenta miasta dokumentacji pisemnej; </w:t>
            </w:r>
          </w:p>
          <w:p w:rsidR="00B0147A" w:rsidRPr="005A7EDF" w:rsidRDefault="009A4ADD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Konsul RP</w:t>
            </w:r>
            <w:r w:rsidR="005A7EDF" w:rsidRPr="005A7ED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– w zakresie rejestracji w Centralnym Rejestrze Wyborców danych co do adresu przebywania w stosunku do wyborców głosujących poza granicami kraju oraz przechowywanej przez Konsula dokumentacji pisemnej; </w:t>
            </w:r>
          </w:p>
          <w:p w:rsidR="00B0147A" w:rsidRPr="005A7EDF" w:rsidRDefault="009A4ADD">
            <w:pPr>
              <w:numPr>
                <w:ilvl w:val="0"/>
                <w:numId w:val="1"/>
              </w:numPr>
              <w:spacing w:line="278" w:lineRule="auto"/>
              <w:ind w:right="50"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Minister Cyfryzacji, mający siedzibę w Warszawie (00-060) przy ul. Królewskiej 27 – odpowiada za utrzymanie i rozwój Centralnego Rejestru Wyborców oraz aktualizuje informacje o zgłoszeniu chęci głosowania w wyborach do Parlamentu Europejskiego </w:t>
            </w:r>
          </w:p>
          <w:p w:rsidR="00B0147A" w:rsidRPr="005A7EDF" w:rsidRDefault="009A4ADD">
            <w:pPr>
              <w:spacing w:after="30"/>
              <w:ind w:right="74"/>
              <w:jc w:val="right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przeprowadzanych przez inne państwo członkowskie Unii Europejskiej;</w:t>
            </w:r>
          </w:p>
          <w:p w:rsidR="00B0147A" w:rsidRPr="005A7EDF" w:rsidRDefault="009A4ADD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Minister Spraw Wewnętrznych i Administracji, mający siedzibę w Warszawie (02-591) przy ul. Stefana Batorego 5 – zapewnia funkcjonowanie w kraju wydzielonej sieci umożliwiającej dostęp do Centralnego Rejestru Wyborców; </w:t>
            </w:r>
          </w:p>
          <w:p w:rsidR="00B0147A" w:rsidRPr="005A7EDF" w:rsidRDefault="009A4ADD">
            <w:pPr>
              <w:numPr>
                <w:ilvl w:val="0"/>
                <w:numId w:val="1"/>
              </w:numPr>
              <w:ind w:right="50"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B0147A" w:rsidRPr="005A7EDF">
        <w:trPr>
          <w:trHeight w:val="428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A" w:rsidRPr="005A7EDF" w:rsidRDefault="009A4ADD">
            <w:pPr>
              <w:spacing w:after="238" w:line="276" w:lineRule="auto"/>
              <w:ind w:left="3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Z administratorem –</w:t>
            </w:r>
            <w:r w:rsidR="005A7EDF" w:rsidRPr="005A7ED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>Prezydentem miasta można się skontaktować pisemnie na adres siedziby administratora.</w:t>
            </w:r>
          </w:p>
          <w:p w:rsidR="00B0147A" w:rsidRPr="005A7EDF" w:rsidRDefault="009A4ADD">
            <w:pPr>
              <w:spacing w:after="225" w:line="243" w:lineRule="auto"/>
              <w:ind w:left="3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Z administratorem – Ministrem Cyfryzacji można się skontaktować poprzez adres email </w:t>
            </w:r>
            <w:r w:rsidRPr="005A7EDF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kancelaria@cyfra.gov.pl</w:t>
            </w:r>
            <w:r w:rsidRPr="005A7EDF">
              <w:rPr>
                <w:sz w:val="16"/>
                <w:szCs w:val="16"/>
              </w:rPr>
              <w:t xml:space="preserve">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>lub pisemnie na adres siedziby administratora.</w:t>
            </w:r>
          </w:p>
          <w:p w:rsidR="00B0147A" w:rsidRPr="005A7EDF" w:rsidRDefault="009A4ADD">
            <w:pPr>
              <w:ind w:left="3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Z administratorem – Ministrem Spraw Zagranicznych można się skontaktować poprzez adres e-mail: </w:t>
            </w:r>
            <w:r w:rsidRPr="005A7EDF">
              <w:rPr>
                <w:rFonts w:ascii="Arial" w:eastAsia="Arial" w:hAnsi="Arial" w:cs="Arial"/>
                <w:color w:val="0563C1"/>
                <w:sz w:val="16"/>
                <w:szCs w:val="16"/>
                <w:u w:val="single" w:color="0563C1"/>
              </w:rPr>
              <w:t>iod@msz.gov.pl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ab/>
              <w:t>https://www.gov.pl/web/dyplomacja/polskie-przedstawicielstwa-naswiecie .</w:t>
            </w:r>
          </w:p>
        </w:tc>
      </w:tr>
      <w:tr w:rsidR="00B0147A" w:rsidRPr="005A7EDF">
        <w:trPr>
          <w:trHeight w:val="356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DANE KONTAKTOWE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INSPEKTORA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A" w:rsidRPr="005A7EDF" w:rsidRDefault="009A4ADD">
            <w:pPr>
              <w:spacing w:after="238" w:line="276" w:lineRule="auto"/>
              <w:ind w:left="3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Administrator –</w:t>
            </w:r>
            <w:r w:rsidR="005A7EDF" w:rsidRPr="005A7ED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Prezydent </w:t>
            </w:r>
            <w:r w:rsidR="00907C5B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>iasta</w:t>
            </w:r>
            <w:r w:rsidR="00907C5B">
              <w:rPr>
                <w:rFonts w:ascii="Arial" w:eastAsia="Arial" w:hAnsi="Arial" w:cs="Arial"/>
                <w:sz w:val="16"/>
                <w:szCs w:val="16"/>
              </w:rPr>
              <w:t xml:space="preserve"> Łomży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 wyznaczył inspektora ochrony danych, z którym może się Pani/Pan skontaktować poprzez </w:t>
            </w:r>
            <w:r w:rsidR="005A7EDF" w:rsidRPr="005A7EDF">
              <w:rPr>
                <w:rFonts w:ascii="Arial" w:eastAsia="Arial" w:hAnsi="Arial" w:cs="Arial"/>
                <w:sz w:val="16"/>
                <w:szCs w:val="16"/>
              </w:rPr>
              <w:t xml:space="preserve">pocztę elektroniczną: a.kondraciuk@um.lomza.pl </w:t>
            </w:r>
            <w:r w:rsidR="00372A86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5A7EDF" w:rsidRPr="005A7EDF">
              <w:rPr>
                <w:rFonts w:ascii="Arial" w:eastAsia="Arial" w:hAnsi="Arial" w:cs="Arial"/>
                <w:sz w:val="16"/>
                <w:szCs w:val="16"/>
              </w:rPr>
              <w:t xml:space="preserve"> lub  tel. 86 215 67 33 .</w:t>
            </w:r>
          </w:p>
          <w:p w:rsidR="00B0147A" w:rsidRPr="005A7EDF" w:rsidRDefault="009A4ADD">
            <w:pPr>
              <w:spacing w:after="238" w:line="276" w:lineRule="auto"/>
              <w:ind w:left="3" w:right="5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:rsidR="00B0147A" w:rsidRPr="005A7EDF" w:rsidRDefault="009A4ADD">
            <w:pPr>
              <w:ind w:left="3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Administrator – Minister Spraw Zagranicznych wyznaczył, w odniesieniu do danych przetwarzanych w Ministerstwie Spraw Zagranicznych jak i placówkach </w:t>
            </w:r>
          </w:p>
        </w:tc>
      </w:tr>
    </w:tbl>
    <w:p w:rsidR="00B0147A" w:rsidRPr="005A7EDF" w:rsidRDefault="00B0147A">
      <w:pPr>
        <w:spacing w:after="0"/>
        <w:ind w:left="-1440" w:right="126"/>
        <w:rPr>
          <w:sz w:val="16"/>
          <w:szCs w:val="16"/>
        </w:rPr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B0147A" w:rsidRPr="005A7EDF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B0147A">
            <w:pPr>
              <w:rPr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A" w:rsidRPr="005A7EDF" w:rsidRDefault="005A7EDF" w:rsidP="005A7EDF">
            <w:pPr>
              <w:spacing w:after="238" w:line="276" w:lineRule="auto"/>
              <w:ind w:right="99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zagranicznych,</w:t>
            </w:r>
            <w:r w:rsidR="009A4ADD" w:rsidRPr="005A7EDF">
              <w:rPr>
                <w:rFonts w:ascii="Arial" w:eastAsia="Arial" w:hAnsi="Arial" w:cs="Arial"/>
                <w:sz w:val="16"/>
                <w:szCs w:val="16"/>
              </w:rPr>
              <w:t xml:space="preserve"> inspektora ochrony dany</w:t>
            </w:r>
            <w:r w:rsidR="00907C5B">
              <w:rPr>
                <w:rFonts w:ascii="Arial" w:eastAsia="Arial" w:hAnsi="Arial" w:cs="Arial"/>
                <w:sz w:val="16"/>
                <w:szCs w:val="16"/>
              </w:rPr>
              <w:t xml:space="preserve">ch, z którym może się Pan/Pani </w:t>
            </w:r>
            <w:r w:rsidR="009A4ADD" w:rsidRPr="005A7EDF">
              <w:rPr>
                <w:rFonts w:ascii="Arial" w:eastAsia="Arial" w:hAnsi="Arial" w:cs="Arial"/>
                <w:sz w:val="16"/>
                <w:szCs w:val="16"/>
              </w:rPr>
              <w:t xml:space="preserve">skontaktować poprzez email: </w:t>
            </w:r>
            <w:r w:rsidR="009A4ADD" w:rsidRPr="005A7EDF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iod@msz.gov.pl </w:t>
            </w:r>
            <w:r w:rsidR="009A4ADD" w:rsidRPr="005A7EDF">
              <w:rPr>
                <w:rFonts w:ascii="Arial" w:eastAsia="Arial" w:hAnsi="Arial" w:cs="Arial"/>
                <w:sz w:val="16"/>
                <w:szCs w:val="16"/>
              </w:rPr>
              <w:t xml:space="preserve">lub pisemnie na adres siedziby administratora.  </w:t>
            </w:r>
          </w:p>
          <w:p w:rsidR="00B0147A" w:rsidRPr="005A7EDF" w:rsidRDefault="009A4ADD">
            <w:pPr>
              <w:ind w:left="3" w:right="99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B0147A" w:rsidRPr="005A7EDF">
        <w:trPr>
          <w:trHeight w:val="527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CELE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PRZETWARZANIA I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A" w:rsidRPr="005A7EDF" w:rsidRDefault="009A4ADD">
            <w:pPr>
              <w:spacing w:after="28" w:line="276" w:lineRule="auto"/>
              <w:ind w:left="3" w:right="99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Pani/Pana dane będą przetwarzane na podstawie art.6 ust.1 lit. c Rozporządzenia Parlamentu Europejskiego i Rady (UE) 2016/679 z dnia 27 kwietnia 2016 r. </w:t>
            </w:r>
            <w:r w:rsidRPr="005A7EDF">
              <w:rPr>
                <w:rFonts w:ascii="Arial" w:eastAsia="Arial" w:hAnsi="Arial" w:cs="Arial"/>
                <w:i/>
                <w:sz w:val="16"/>
                <w:szCs w:val="16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 (Dz. Urz. UE L 119 z 04.05.2016, str. 1, z późn. zm.) (dalej: RODO) w związku z przepisem szczególnym ustawy;</w:t>
            </w:r>
          </w:p>
          <w:p w:rsidR="00B0147A" w:rsidRPr="005A7EDF" w:rsidRDefault="009A4ADD">
            <w:pPr>
              <w:numPr>
                <w:ilvl w:val="0"/>
                <w:numId w:val="2"/>
              </w:numPr>
              <w:spacing w:after="26" w:line="278" w:lineRule="auto"/>
              <w:ind w:right="99"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przez Wójta/Burmistrza/Prezydenta miasta - w celu wprowadzenia Pani/Pana danych do Centralnego Rejestru Wyborców – na podstawie art.</w:t>
            </w: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>18b § 1 ustawy z dnia 5 stycznia 2011 r. – Kodeks wyborczy (Dz. U. z 2022 r. poz. 1277 i 2418 oraz z 2023 r. poz. 497)</w:t>
            </w:r>
          </w:p>
          <w:p w:rsidR="00B0147A" w:rsidRPr="005A7EDF" w:rsidRDefault="009A4ADD">
            <w:pPr>
              <w:numPr>
                <w:ilvl w:val="0"/>
                <w:numId w:val="2"/>
              </w:numPr>
              <w:spacing w:after="25" w:line="279" w:lineRule="auto"/>
              <w:ind w:right="99"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Konsula  - w celu wprowadzenia Pani/Pana danych do Centralnego Rejestru Wyborców – na podstawie art.</w:t>
            </w: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18b § 2 ustawy z dnia 5 stycznia 2011 r. – Kodeks wyborczy </w:t>
            </w:r>
          </w:p>
          <w:p w:rsidR="00B0147A" w:rsidRPr="005A7EDF" w:rsidRDefault="009A4ADD">
            <w:pPr>
              <w:numPr>
                <w:ilvl w:val="0"/>
                <w:numId w:val="2"/>
              </w:numPr>
              <w:spacing w:after="236" w:line="278" w:lineRule="auto"/>
              <w:ind w:right="99"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przez Ministra Cyfryzacji - w celu wprowadzenia Pani/Pana danych do Centralnego Rejestru Wyborców – na podstawie art.</w:t>
            </w: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18b § 3 ustawy z dnia 5 stycznia 2011 r. – Kodeks wyborczy oraz w celu utrzymania i rozwoju rejestru </w:t>
            </w:r>
          </w:p>
          <w:p w:rsidR="00B0147A" w:rsidRPr="005A7EDF" w:rsidRDefault="009A4ADD">
            <w:pPr>
              <w:ind w:left="3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B0147A" w:rsidRPr="005A7EDF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A" w:rsidRPr="005A7EDF" w:rsidRDefault="009A4ADD">
            <w:pPr>
              <w:spacing w:after="43"/>
              <w:ind w:left="3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Odbiorcami danych są: </w:t>
            </w:r>
          </w:p>
          <w:p w:rsidR="00B0147A" w:rsidRPr="005A7EDF" w:rsidRDefault="009A4ADD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Centralny Ośrodek Informatyki – w zakresie technicznego utrzymania Centralnego Rejestru Wyborców;</w:t>
            </w:r>
          </w:p>
          <w:p w:rsidR="00B0147A" w:rsidRPr="005A7EDF" w:rsidRDefault="009A4ADD">
            <w:pPr>
              <w:numPr>
                <w:ilvl w:val="0"/>
                <w:numId w:val="3"/>
              </w:numPr>
              <w:ind w:hanging="360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B0147A" w:rsidRPr="005A7EDF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PRZEKAZANIE </w:t>
            </w:r>
          </w:p>
          <w:p w:rsidR="00B0147A" w:rsidRPr="005A7EDF" w:rsidRDefault="009A4ADD">
            <w:pPr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DANYCH OSOBOWYCH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DO PAŃSTWA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TRZECIEGO LUB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ORGANIZACJI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A" w:rsidRPr="005A7EDF" w:rsidRDefault="009A4ADD">
            <w:pPr>
              <w:spacing w:line="276" w:lineRule="auto"/>
              <w:ind w:left="3" w:right="99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:rsidR="00B0147A" w:rsidRPr="005A7EDF" w:rsidRDefault="009A4ADD">
            <w:pPr>
              <w:ind w:left="3" w:right="99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372A86" w:rsidRPr="005A7EDF" w:rsidTr="00944BB1">
        <w:trPr>
          <w:trHeight w:val="444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72A86" w:rsidRPr="005A7EDF" w:rsidRDefault="00372A86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OKRES </w:t>
            </w:r>
          </w:p>
          <w:p w:rsidR="00372A86" w:rsidRPr="005A7EDF" w:rsidRDefault="00372A86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PRZECHOWYWANIA </w:t>
            </w:r>
          </w:p>
          <w:p w:rsidR="00372A86" w:rsidRPr="005A7EDF" w:rsidRDefault="00372A86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Okres przechowywania danych obywateli polskich w Centralnym Rejestrze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Wyborców obejmuje okres życia danej osoby od momentu ukończenia 17 lat do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dnia zarejestrowania dla tej osoby zgonu lub utraty obywatelstwa polskiego.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Dla wyborców będących obywatelami Unii Europejskiej niebędących obywatelami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polskimi oraz obywatelami Zjednoczonego Królestwa Wielkiej Brytanii i Irlandii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Północnej, uprawnionych do korzystania z praw wyborczych w Rzeczypospolitej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Polskiej okres przechowywania danych rozpoczyna się od momentu ujęcia na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wniosek w obwodzie glosowania do czasu złożenia w gminie tj. u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Wójta/Prezydenta/Burmistrza wniosku o skreślenie z Centralnego Rejestru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Wyborców albo zarejestrowania w Polsce zgonu lub utraty obywatelstwa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uprawniającego do głosowania w Polsce. Natomiast przez Ministra Cyfryzacji do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czasu przesłania właściwemu organowi państwa członkowskiego Unii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Europejskiej informacji o skreśleniu z Centralnego Rejestru Wyborców osoby, o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ile przesłał uprzednio do tego organu informację, o korzystaniu z praw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wyborczych w Rzeczypospolitej Polskiej w związku ze zgłoszeniem wniosku.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Zapisy w dziennikach systemów (logach) Centralnego Rejestru Wyborców</w:t>
            </w:r>
          </w:p>
          <w:p w:rsidR="0087460E" w:rsidRDefault="0087460E" w:rsidP="0087460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przechowywane są przez 5 lat od dnia ich utworzenia (art.18 § 11 ustawy z dnia</w:t>
            </w:r>
          </w:p>
          <w:p w:rsidR="00372A86" w:rsidRPr="005A7EDF" w:rsidRDefault="0087460E" w:rsidP="0087460E">
            <w:pPr>
              <w:ind w:left="3" w:right="67"/>
              <w:jc w:val="both"/>
              <w:rPr>
                <w:sz w:val="16"/>
                <w:szCs w:val="16"/>
              </w:rPr>
            </w:pPr>
            <w:r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5 stycznia 2011 r. – Kodeks wyborczy).</w:t>
            </w:r>
          </w:p>
        </w:tc>
      </w:tr>
      <w:tr w:rsidR="00B0147A" w:rsidRPr="005A7EDF">
        <w:tblPrEx>
          <w:tblCellMar>
            <w:right w:w="40" w:type="dxa"/>
          </w:tblCellMar>
        </w:tblPrEx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A" w:rsidRPr="005A7EDF" w:rsidRDefault="009A4ADD">
            <w:pPr>
              <w:spacing w:after="14"/>
              <w:ind w:left="3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Przysługuje Pani/Panu:</w:t>
            </w:r>
          </w:p>
          <w:p w:rsidR="00B0147A" w:rsidRPr="005A7EDF" w:rsidRDefault="009A4ADD">
            <w:pPr>
              <w:spacing w:after="14"/>
              <w:ind w:left="3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- prawo dostępu do Pani/Pana danych; </w:t>
            </w:r>
          </w:p>
          <w:p w:rsidR="00B0147A" w:rsidRPr="005A7EDF" w:rsidRDefault="009A4ADD">
            <w:pPr>
              <w:ind w:left="3" w:right="67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B0147A" w:rsidRPr="005A7EDF">
        <w:tblPrEx>
          <w:tblCellMar>
            <w:right w:w="40" w:type="dxa"/>
          </w:tblCellMar>
        </w:tblPrEx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PRAWO WNIESIENIA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SKARGI DO ORGANU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7A" w:rsidRPr="005A7EDF" w:rsidRDefault="009A4ADD">
            <w:pPr>
              <w:spacing w:after="14"/>
              <w:ind w:left="3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Przysługuje Pani/Panu również prawo wniesienia skargi do organu nadzorczego </w:t>
            </w:r>
          </w:p>
          <w:p w:rsidR="00B0147A" w:rsidRPr="005A7EDF" w:rsidRDefault="009A4ADD">
            <w:pPr>
              <w:spacing w:after="14"/>
              <w:ind w:left="3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- Prezesa Urzędu Ochrony Danych Osobowych;</w:t>
            </w:r>
          </w:p>
          <w:p w:rsidR="00B0147A" w:rsidRPr="005A7EDF" w:rsidRDefault="00854CAE">
            <w:pPr>
              <w:ind w:left="3"/>
              <w:rPr>
                <w:sz w:val="16"/>
                <w:szCs w:val="16"/>
              </w:rPr>
            </w:pPr>
            <w:hyperlink r:id="rId8">
              <w:r w:rsidR="009A4ADD" w:rsidRPr="005A7EDF">
                <w:rPr>
                  <w:rFonts w:ascii="Arial" w:eastAsia="Arial" w:hAnsi="Arial" w:cs="Arial"/>
                  <w:sz w:val="16"/>
                  <w:szCs w:val="16"/>
                </w:rPr>
                <w:t>Adres:</w:t>
              </w:r>
            </w:hyperlink>
            <w:r w:rsidR="009A4ADD" w:rsidRPr="005A7EDF">
              <w:rPr>
                <w:rFonts w:ascii="Arial" w:eastAsia="Arial" w:hAnsi="Arial" w:cs="Arial"/>
                <w:sz w:val="16"/>
                <w:szCs w:val="16"/>
              </w:rPr>
              <w:t xml:space="preserve"> Stawki 2, 00-193 Warszawa</w:t>
            </w:r>
          </w:p>
        </w:tc>
      </w:tr>
      <w:tr w:rsidR="00B0147A" w:rsidRPr="005A7EDF">
        <w:tblPrEx>
          <w:tblCellMar>
            <w:right w:w="40" w:type="dxa"/>
          </w:tblCellMar>
        </w:tblPrEx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ŹRÓDŁO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POCHODZENIA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A" w:rsidRPr="005A7EDF" w:rsidRDefault="009A4ADD">
            <w:pPr>
              <w:spacing w:after="14"/>
              <w:ind w:left="3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Centralny Rejestr Wyborców jest zasilany danymi z Rejestru PESEL. </w:t>
            </w:r>
          </w:p>
          <w:p w:rsidR="00B0147A" w:rsidRPr="005A7EDF" w:rsidRDefault="009A4ADD">
            <w:pPr>
              <w:ind w:left="3" w:right="67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B0147A" w:rsidRPr="005A7EDF">
        <w:tblPrEx>
          <w:tblCellMar>
            <w:right w:w="40" w:type="dxa"/>
          </w:tblCellMar>
        </w:tblPrEx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INFORMACJA O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DOWOLNOŚCI LUB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OBOWIĄZKU PODANIA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DANYCH ORAZ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KONSEKWENCJACH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7A" w:rsidRPr="005A7EDF" w:rsidRDefault="009A4ADD">
            <w:pPr>
              <w:spacing w:line="276" w:lineRule="auto"/>
              <w:ind w:left="3" w:right="67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:rsidR="00B0147A" w:rsidRPr="005A7EDF" w:rsidRDefault="009A4ADD">
            <w:pPr>
              <w:ind w:left="3" w:right="67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B0147A" w:rsidRPr="005A7EDF">
        <w:tblPrEx>
          <w:tblCellMar>
            <w:right w:w="40" w:type="dxa"/>
          </w:tblCellMar>
        </w:tblPrEx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INFORMACJA O </w:t>
            </w:r>
          </w:p>
          <w:p w:rsidR="00B0147A" w:rsidRPr="005A7EDF" w:rsidRDefault="009A4ADD">
            <w:pPr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ZAUTOMATYZOWANYM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PODEJMOWANIU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DECYZJI I </w:t>
            </w:r>
          </w:p>
          <w:p w:rsidR="00B0147A" w:rsidRPr="005A7EDF" w:rsidRDefault="009A4ADD">
            <w:pPr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b/>
                <w:sz w:val="16"/>
                <w:szCs w:val="16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7A" w:rsidRPr="005A7EDF" w:rsidRDefault="009A4ADD">
            <w:pPr>
              <w:ind w:left="3"/>
              <w:jc w:val="both"/>
              <w:rPr>
                <w:sz w:val="16"/>
                <w:szCs w:val="16"/>
              </w:rPr>
            </w:pPr>
            <w:r w:rsidRPr="005A7EDF">
              <w:rPr>
                <w:rFonts w:ascii="Arial" w:eastAsia="Arial" w:hAnsi="Arial" w:cs="Arial"/>
                <w:sz w:val="16"/>
                <w:szCs w:val="16"/>
              </w:rPr>
              <w:t>Pani/Pana dane osobowe nie będą podlegały zautomatyzowanemu podejmowaniu decyzji w tym profilowaniu.</w:t>
            </w:r>
          </w:p>
        </w:tc>
      </w:tr>
    </w:tbl>
    <w:p w:rsidR="009A4ADD" w:rsidRDefault="009A4ADD"/>
    <w:sectPr w:rsidR="009A4ADD">
      <w:footerReference w:type="default" r:id="rId9"/>
      <w:pgSz w:w="11906" w:h="16838"/>
      <w:pgMar w:top="1253" w:right="1440" w:bottom="13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AE" w:rsidRDefault="00854CAE" w:rsidP="00907C5B">
      <w:pPr>
        <w:spacing w:after="0" w:line="240" w:lineRule="auto"/>
      </w:pPr>
      <w:r>
        <w:separator/>
      </w:r>
    </w:p>
  </w:endnote>
  <w:endnote w:type="continuationSeparator" w:id="0">
    <w:p w:rsidR="00854CAE" w:rsidRDefault="00854CAE" w:rsidP="0090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187400"/>
      <w:docPartObj>
        <w:docPartGallery w:val="Page Numbers (Bottom of Page)"/>
        <w:docPartUnique/>
      </w:docPartObj>
    </w:sdtPr>
    <w:sdtEndPr/>
    <w:sdtContent>
      <w:p w:rsidR="00907C5B" w:rsidRDefault="00907C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59">
          <w:rPr>
            <w:noProof/>
          </w:rPr>
          <w:t>2</w:t>
        </w:r>
        <w:r>
          <w:fldChar w:fldCharType="end"/>
        </w:r>
      </w:p>
    </w:sdtContent>
  </w:sdt>
  <w:p w:rsidR="00907C5B" w:rsidRDefault="00907C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AE" w:rsidRDefault="00854CAE" w:rsidP="00907C5B">
      <w:pPr>
        <w:spacing w:after="0" w:line="240" w:lineRule="auto"/>
      </w:pPr>
      <w:r>
        <w:separator/>
      </w:r>
    </w:p>
  </w:footnote>
  <w:footnote w:type="continuationSeparator" w:id="0">
    <w:p w:rsidR="00854CAE" w:rsidRDefault="00854CAE" w:rsidP="0090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A2E17"/>
    <w:multiLevelType w:val="hybridMultilevel"/>
    <w:tmpl w:val="E22074F6"/>
    <w:lvl w:ilvl="0" w:tplc="6B08A8A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8C872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F6C92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D418E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2E7A7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CA87C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F83B1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46C82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CA917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57BE8"/>
    <w:multiLevelType w:val="hybridMultilevel"/>
    <w:tmpl w:val="855A5846"/>
    <w:lvl w:ilvl="0" w:tplc="EEB09EE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DEC0F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B05E2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D6F31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88CEB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205D0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324AA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3E7FA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985B6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0671D"/>
    <w:multiLevelType w:val="hybridMultilevel"/>
    <w:tmpl w:val="22E898C2"/>
    <w:lvl w:ilvl="0" w:tplc="B37C5328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6C222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82C22E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3C55EA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4E364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50B4CE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621E1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262468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08C52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A"/>
    <w:rsid w:val="00372A86"/>
    <w:rsid w:val="005A7EDF"/>
    <w:rsid w:val="00664759"/>
    <w:rsid w:val="00854CAE"/>
    <w:rsid w:val="0087460E"/>
    <w:rsid w:val="00907C5B"/>
    <w:rsid w:val="009A4ADD"/>
    <w:rsid w:val="00B0147A"/>
    <w:rsid w:val="00F5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A79F4-F809-4DF7-896C-CEA3E7E6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5B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C5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C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25E8-A9B0-4EA9-94DB-4F267DC5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cp:lastModifiedBy>łukasz Suprowicz</cp:lastModifiedBy>
  <cp:revision>4</cp:revision>
  <cp:lastPrinted>2023-09-01T09:23:00Z</cp:lastPrinted>
  <dcterms:created xsi:type="dcterms:W3CDTF">2024-02-28T11:12:00Z</dcterms:created>
  <dcterms:modified xsi:type="dcterms:W3CDTF">2024-02-28T11:15:00Z</dcterms:modified>
</cp:coreProperties>
</file>